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8E1330" w:sz="24" w:space="6"/>
        </w:pBdr>
      </w:pPr>
      <w:r>
        <w:rPr>
          <w:rFonts w:ascii="Arial" w:cs="Arial" w:eastAsia="Arial" w:hAnsi="Arial"/>
          <w:b/>
          <w:bCs/>
          <w:color w:val="8E1330"/>
          <w:sz w:val="18"/>
          <w:szCs w:val="18"/>
        </w:rPr>
        <w:t xml:space="preserve">SỔ TAY CHỦ NHÀ TỰ XÂY</w:t>
      </w:r>
      <w:r>
        <w:rPr>
          <w:rFonts w:ascii="Arial" w:cs="Arial" w:eastAsia="Arial" w:hAnsi="Arial"/>
          <w:b/>
          <w:bCs/>
          <w:color w:val="8E1330"/>
          <w:sz w:val="18"/>
          <w:szCs w:val="18"/>
        </w:rPr>
        <w:t xml:space="preserve">     BẢN MẪU – dữ liệu giả</w:t>
      </w:r>
    </w:p>
    <w:p>
      <w:pPr>
        <w:spacing w:after="60" w:before="120"/>
      </w:pPr>
      <w:r>
        <w:rPr>
          <w:rFonts w:ascii="Arial" w:cs="Arial" w:eastAsia="Arial" w:hAnsi="Arial"/>
          <w:b/>
          <w:bCs/>
          <w:sz w:val="36"/>
          <w:szCs w:val="36"/>
        </w:rPr>
        <w:t xml:space="preserve">Mẫu hợp đồng giao khoán nhân công</w:t>
      </w:r>
    </w:p>
    <w:p>
      <w:r>
        <w:rPr>
          <w:rFonts w:ascii="Arial" w:cs="Arial" w:eastAsia="Arial" w:hAnsi="Arial"/>
          <w:color w:val="6B625C"/>
          <w:sz w:val="19"/>
          <w:szCs w:val="19"/>
        </w:rPr>
        <w:t xml:space="preserve">Ngày tạo: 26/10/2026   ·   Chủ nhà: Nguyễn Văn Mẫu   ·   Công trình: Số 12 ngõ 34, phường Mẫu, Hà Nội (địa chỉ giả)</w:t>
      </w:r>
    </w:p>
    <w:p>
      <w:pPr>
        <w:pBdr>
          <w:bottom w:val="single" w:color="C9A24A" w:sz="8" w:space="4"/>
        </w:pBdr>
        <w:spacing w:after="240"/>
      </w:pPr>
    </w:p>
    <w:p>
      <w:pPr>
        <w:spacing w:after="120"/>
      </w:pPr>
      <w:r>
        <w:rPr>
          <w:rFonts w:ascii="Arial" w:cs="Arial" w:eastAsia="Arial" w:hAnsi="Arial"/>
          <w:b/>
          <w:bCs/>
          <w:color w:val="8E1330"/>
          <w:sz w:val="26"/>
          <w:szCs w:val="26"/>
        </w:rPr>
        <w:t xml:space="preserve">Cách dùng mẫu này</w:t>
      </w:r>
    </w:p>
    <w:p>
      <w:pPr>
        <w:spacing w:after="80"/>
        <w:ind w:left="360" w:hanging="240"/>
      </w:pPr>
      <w:r>
        <w:rPr>
          <w:rFonts w:ascii="Arial" w:cs="Arial" w:eastAsia="Arial" w:hAnsi="Arial"/>
          <w:sz w:val="21"/>
          <w:szCs w:val="21"/>
        </w:rPr>
        <w:t xml:space="preserve">•  Đọc hết hợp đồng ở các trang sau, gạch bỏ hoặc sửa điều khoản không hợp với thỏa thuận của hai bên. Ô ☐ đánh dấu phần chọn.</w:t>
      </w:r>
    </w:p>
    <w:p>
      <w:pPr>
        <w:spacing w:after="80"/>
        <w:ind w:left="360" w:hanging="240"/>
      </w:pPr>
      <w:r>
        <w:rPr>
          <w:rFonts w:ascii="Arial" w:cs="Arial" w:eastAsia="Arial" w:hAnsi="Arial"/>
          <w:sz w:val="21"/>
          <w:szCs w:val="21"/>
        </w:rPr>
        <w:t xml:space="preserve">•  Điền đủ thông tin hai bên, phạm vi việc, giá khoán, ngày khởi công và hoàn thành. Giá khoán nên ghi cả bằng số và bằng chữ.</w:t>
      </w:r>
    </w:p>
    <w:p>
      <w:pPr>
        <w:spacing w:after="80"/>
        <w:ind w:left="360" w:hanging="240"/>
      </w:pPr>
      <w:r>
        <w:rPr>
          <w:rFonts w:ascii="Arial" w:cs="Arial" w:eastAsia="Arial" w:hAnsi="Arial"/>
          <w:sz w:val="21"/>
          <w:szCs w:val="21"/>
        </w:rPr>
        <w:t xml:space="preserve">•  Lịch thanh toán mẫu theo mốc nghiệm thu: 10% / 15% / 25% / 20% / 15% / 10%, giữ lại 5% bảo hành 12 tháng. Sửa tỉ lệ cho khớp thỏa thuận; tổng phải bằng 100%.</w:t>
      </w:r>
    </w:p>
    <w:p>
      <w:pPr>
        <w:spacing w:after="80"/>
        <w:ind w:left="360" w:hanging="240"/>
      </w:pPr>
      <w:r>
        <w:rPr>
          <w:rFonts w:ascii="Arial" w:cs="Arial" w:eastAsia="Arial" w:hAnsi="Arial"/>
          <w:sz w:val="21"/>
          <w:szCs w:val="21"/>
        </w:rPr>
        <w:t xml:space="preserve">•  Mỗi lần ứng tiền, ghi vào sổ tạm ứng trong file Excel của bộ sổ tay và cho người nhận ký. Dùng checklist nghiệm thu PDF trước khi trả mỗi đợt.</w:t>
      </w:r>
    </w:p>
    <w:p>
      <w:pPr>
        <w:spacing w:after="80"/>
        <w:ind w:left="360" w:hanging="240"/>
      </w:pPr>
      <w:r>
        <w:rPr>
          <w:rFonts w:ascii="Arial" w:cs="Arial" w:eastAsia="Arial" w:hAnsi="Arial"/>
          <w:sz w:val="21"/>
          <w:szCs w:val="21"/>
        </w:rPr>
        <w:t xml:space="preserve">•  In 02 bản, hai bên ký từng trang hoặc ký nháy, mỗi bên giữ 01 bản.</w:t>
      </w:r>
    </w:p>
    <w:p>
      <w:pPr>
        <w:spacing w:after="80" w:before="200"/>
      </w:pPr>
      <w:r>
        <w:rPr>
          <w:rFonts w:ascii="Arial" w:cs="Arial" w:eastAsia="Arial" w:hAnsi="Arial"/>
          <w:b/>
          <w:bCs/>
          <w:color w:val="8E1330"/>
          <w:sz w:val="26"/>
          <w:szCs w:val="26"/>
        </w:rPr>
        <w:t xml:space="preserve">Lưu ý</w:t>
      </w:r>
    </w:p>
    <w:p>
      <w:pPr>
        <w:spacing w:after="80"/>
      </w:pPr>
      <w:r>
        <w:rPr>
          <w:rFonts w:ascii="Arial" w:cs="Arial" w:eastAsia="Arial" w:hAnsi="Arial"/>
          <w:sz w:val="21"/>
          <w:szCs w:val="21"/>
        </w:rPr>
        <w:t xml:space="preserve">Mẫu tham khảo soạn theo quy định chung về hợp đồng của Bộ luật Dân sự 2015, không phải tư vấn pháp lý hay tư vấn kỹ thuật xây dựng. Nên nhờ người am hiểu pháp luật xem lại trước khi ký; kết cấu, móng hỏi kỹ sư.</w:t>
      </w:r>
    </w:p>
    <w:p>
      <w:pPr>
        <w:spacing w:before="400"/>
        <w:sectPr>
          <w:footerReference w:type="default" r:id="rId6"/>
          <w:pgSz w:w="11906" w:h="16838" w:orient="portrait"/>
          <w:pgMar w:top="1134" w:right="1134" w:bottom="1134" w:left="1701" w:header="708" w:footer="708" w:gutter="0"/>
          <w:pgNumType/>
          <w:docGrid w:linePitch="360"/>
        </w:sectPr>
      </w:pPr>
      <w:r>
        <w:rPr>
          <w:rFonts w:ascii="Arial" w:cs="Arial" w:eastAsia="Arial" w:hAnsi="Arial"/>
          <w:color w:val="6B625C"/>
          <w:sz w:val="17"/>
          <w:szCs w:val="17"/>
        </w:rPr>
        <w:t xml:space="preserve">Tạo bởi Sổ tay chủ nhà tự xây · xaynha.hoagao.store · support@hoagao.store</w:t>
      </w:r>
    </w:p>
    <w:p>
      <w:pPr>
        <w:spacing w:after="0" w:line="312"/>
        <w:jc w:val="center"/>
      </w:pPr>
      <w:r>
        <w:rPr>
          <w:rFonts w:ascii="Times New Roman" w:cs="Times New Roman" w:eastAsia="Times New Roman" w:hAnsi="Times New Roman"/>
          <w:b/>
          <w:bCs/>
          <w:sz w:val="26"/>
          <w:szCs w:val="26"/>
        </w:rPr>
        <w:t xml:space="preserve">CỘNG HÒA XÃ HỘI CHỦ NGHĨA VIỆT NAM</w:t>
      </w:r>
    </w:p>
    <w:p>
      <w:pPr>
        <w:spacing w:after="0" w:line="312"/>
        <w:jc w:val="center"/>
      </w:pPr>
      <w:r>
        <w:rPr>
          <w:rFonts w:ascii="Times New Roman" w:cs="Times New Roman" w:eastAsia="Times New Roman" w:hAnsi="Times New Roman"/>
          <w:b/>
          <w:bCs/>
          <w:sz w:val="26"/>
          <w:szCs w:val="26"/>
        </w:rPr>
        <w:t xml:space="preserve">Độc lập – Tự do – Hạnh phúc</w:t>
      </w:r>
    </w:p>
    <w:p>
      <w:pPr>
        <w:spacing w:after="200" w:line="312"/>
        <w:jc w:val="center"/>
      </w:pPr>
      <w:r>
        <w:rPr>
          <w:rFonts w:ascii="Times New Roman" w:cs="Times New Roman" w:eastAsia="Times New Roman" w:hAnsi="Times New Roman"/>
          <w:sz w:val="26"/>
          <w:szCs w:val="26"/>
        </w:rPr>
        <w:t xml:space="preserve">———————</w:t>
      </w:r>
    </w:p>
    <w:p>
      <w:pPr>
        <w:spacing w:after="60"/>
        <w:jc w:val="center"/>
      </w:pPr>
      <w:r>
        <w:rPr>
          <w:rFonts w:ascii="Times New Roman" w:cs="Times New Roman" w:eastAsia="Times New Roman" w:hAnsi="Times New Roman"/>
          <w:b/>
          <w:bCs/>
          <w:sz w:val="30"/>
          <w:szCs w:val="30"/>
        </w:rPr>
        <w:t xml:space="preserve">HỢP ĐỒNG GIAO KHOÁN NHÂN CÔNG</w:t>
      </w:r>
    </w:p>
    <w:p>
      <w:pPr>
        <w:spacing w:after="60"/>
        <w:jc w:val="center"/>
      </w:pPr>
      <w:r>
        <w:rPr>
          <w:rFonts w:ascii="Times New Roman" w:cs="Times New Roman" w:eastAsia="Times New Roman" w:hAnsi="Times New Roman"/>
          <w:b/>
          <w:bCs/>
          <w:sz w:val="30"/>
          <w:szCs w:val="30"/>
        </w:rPr>
        <w:t xml:space="preserve">XÂY DỰNG NHÀ Ở</w:t>
      </w:r>
    </w:p>
    <w:p>
      <w:pPr>
        <w:spacing w:after="200" w:line="312"/>
        <w:jc w:val="center"/>
      </w:pPr>
      <w:r>
        <w:rPr>
          <w:rFonts w:ascii="Times New Roman" w:cs="Times New Roman" w:eastAsia="Times New Roman" w:hAnsi="Times New Roman"/>
          <w:sz w:val="26"/>
          <w:szCs w:val="26"/>
        </w:rPr>
        <w:t xml:space="preserve">Số: ......../HĐGK</w:t>
      </w:r>
    </w:p>
    <w:p>
      <w:pPr>
        <w:spacing w:after="80" w:line="312"/>
        <w:jc w:val="both"/>
      </w:pPr>
      <w:r>
        <w:rPr>
          <w:rFonts w:ascii="Times New Roman" w:cs="Times New Roman" w:eastAsia="Times New Roman" w:hAnsi="Times New Roman"/>
          <w:sz w:val="26"/>
          <w:szCs w:val="26"/>
        </w:rPr>
        <w:t xml:space="preserve">Căn cứ Bộ luật Dân sự năm 2015; căn cứ nhu cầu và khả năng của hai bên. Hôm nay, ngày ...... tháng ...... năm ........, tại Số 12 ngõ 34, phường Mẫu, Hà Nội (địa chỉ giả), chúng tôi gồm:</w:t>
      </w:r>
    </w:p>
    <w:p>
      <w:pPr>
        <w:spacing w:after="80" w:line="312"/>
        <w:jc w:val="both"/>
      </w:pPr>
      <w:r>
        <w:rPr>
          <w:rFonts w:ascii="Times New Roman" w:cs="Times New Roman" w:eastAsia="Times New Roman" w:hAnsi="Times New Roman"/>
          <w:b/>
          <w:bCs/>
          <w:sz w:val="26"/>
          <w:szCs w:val="26"/>
        </w:rPr>
        <w:t xml:space="preserve">BÊN GIAO KHOÁN (Bên A, chủ nhà): </w:t>
      </w:r>
      <w:r>
        <w:rPr>
          <w:rFonts w:ascii="Times New Roman" w:cs="Times New Roman" w:eastAsia="Times New Roman" w:hAnsi="Times New Roman"/>
          <w:b w:val="false"/>
          <w:bCs w:val="false"/>
          <w:sz w:val="26"/>
          <w:szCs w:val="26"/>
        </w:rPr>
        <w:t xml:space="preserve">Nguyễn Văn Mẫu</w:t>
      </w:r>
    </w:p>
    <w:p>
      <w:pPr>
        <w:spacing w:after="80" w:line="312"/>
        <w:jc w:val="both"/>
      </w:pPr>
      <w:r>
        <w:rPr>
          <w:rFonts w:ascii="Times New Roman" w:cs="Times New Roman" w:eastAsia="Times New Roman" w:hAnsi="Times New Roman"/>
          <w:sz w:val="26"/>
          <w:szCs w:val="26"/>
        </w:rPr>
        <w:t xml:space="preserve">CCCD số: ........................ cấp ngày ............ tại ......................................</w:t>
      </w:r>
    </w:p>
    <w:p>
      <w:pPr>
        <w:spacing w:after="80" w:line="312"/>
        <w:jc w:val="both"/>
      </w:pPr>
      <w:r>
        <w:rPr>
          <w:rFonts w:ascii="Times New Roman" w:cs="Times New Roman" w:eastAsia="Times New Roman" w:hAnsi="Times New Roman"/>
          <w:sz w:val="26"/>
          <w:szCs w:val="26"/>
        </w:rPr>
        <w:t xml:space="preserve">Địa chỉ: .......................................................................... Điện thoại: ....................</w:t>
      </w:r>
    </w:p>
    <w:p>
      <w:pPr>
        <w:spacing w:after="80" w:line="312"/>
        <w:jc w:val="both"/>
      </w:pPr>
      <w:r>
        <w:rPr>
          <w:rFonts w:ascii="Times New Roman" w:cs="Times New Roman" w:eastAsia="Times New Roman" w:hAnsi="Times New Roman"/>
          <w:b/>
          <w:bCs/>
          <w:sz w:val="26"/>
          <w:szCs w:val="26"/>
        </w:rPr>
        <w:t xml:space="preserve">BÊN NHẬN KHOÁN (Bên B, đội thợ): </w:t>
      </w:r>
      <w:r>
        <w:rPr>
          <w:rFonts w:ascii="Times New Roman" w:cs="Times New Roman" w:eastAsia="Times New Roman" w:hAnsi="Times New Roman"/>
          <w:b w:val="false"/>
          <w:bCs w:val="false"/>
          <w:sz w:val="26"/>
          <w:szCs w:val="26"/>
        </w:rPr>
        <w:t xml:space="preserve">..................................................</w:t>
      </w:r>
    </w:p>
    <w:p>
      <w:pPr>
        <w:spacing w:after="80" w:line="312"/>
        <w:jc w:val="both"/>
      </w:pPr>
      <w:r>
        <w:rPr>
          <w:rFonts w:ascii="Times New Roman" w:cs="Times New Roman" w:eastAsia="Times New Roman" w:hAnsi="Times New Roman"/>
          <w:sz w:val="26"/>
          <w:szCs w:val="26"/>
        </w:rPr>
        <w:t xml:space="preserve">CCCD số: ........................ cấp ngày ............ tại ......................................</w:t>
      </w:r>
    </w:p>
    <w:p>
      <w:pPr>
        <w:spacing w:after="80" w:line="312"/>
        <w:jc w:val="both"/>
      </w:pPr>
      <w:r>
        <w:rPr>
          <w:rFonts w:ascii="Times New Roman" w:cs="Times New Roman" w:eastAsia="Times New Roman" w:hAnsi="Times New Roman"/>
          <w:sz w:val="26"/>
          <w:szCs w:val="26"/>
        </w:rPr>
        <w:t xml:space="preserve">Địa chỉ: .......................................................................... Điện thoại: ....................</w:t>
      </w:r>
    </w:p>
    <w:p>
      <w:pPr>
        <w:spacing w:after="80" w:line="312"/>
        <w:jc w:val="both"/>
      </w:pPr>
      <w:r>
        <w:rPr>
          <w:rFonts w:ascii="Times New Roman" w:cs="Times New Roman" w:eastAsia="Times New Roman" w:hAnsi="Times New Roman"/>
          <w:sz w:val="26"/>
          <w:szCs w:val="26"/>
        </w:rPr>
        <w:t xml:space="preserve">Tài khoản nhận tiền của Bên B: ........................ tại ngân hàng ........................</w:t>
      </w:r>
    </w:p>
    <w:p>
      <w:pPr>
        <w:spacing w:after="80" w:before="200"/>
      </w:pPr>
      <w:r>
        <w:rPr>
          <w:rFonts w:ascii="Times New Roman" w:cs="Times New Roman" w:eastAsia="Times New Roman" w:hAnsi="Times New Roman"/>
          <w:b/>
          <w:bCs/>
          <w:sz w:val="26"/>
          <w:szCs w:val="26"/>
        </w:rPr>
        <w:t xml:space="preserve">Điều 1. Nội dung công việc</w:t>
      </w:r>
    </w:p>
    <w:p>
      <w:pPr>
        <w:spacing w:after="80" w:line="312"/>
        <w:jc w:val="both"/>
      </w:pPr>
      <w:r>
        <w:rPr>
          <w:rFonts w:ascii="Times New Roman" w:cs="Times New Roman" w:eastAsia="Times New Roman" w:hAnsi="Times New Roman"/>
          <w:sz w:val="26"/>
          <w:szCs w:val="26"/>
        </w:rPr>
        <w:t xml:space="preserve">1.1. Bên A giao, Bên B nhận khoán nhân công (Bên A cấp vật tư) thi công nhà ở tại: Số 12 ngõ 34, phường Mẫu, Hà Nội (địa chỉ giả), theo bản vẽ thiết kế và giấy phép xây dựng (nếu có) Bên A giao kèm hợp đồng.</w:t>
      </w:r>
    </w:p>
    <w:p>
      <w:pPr>
        <w:spacing w:after="80" w:line="312"/>
        <w:jc w:val="both"/>
      </w:pPr>
      <w:r>
        <w:rPr>
          <w:rFonts w:ascii="Times New Roman" w:cs="Times New Roman" w:eastAsia="Times New Roman" w:hAnsi="Times New Roman"/>
          <w:sz w:val="26"/>
          <w:szCs w:val="26"/>
        </w:rPr>
        <w:t xml:space="preserve">1.2. Phạm vi: ☐ phần thô (móng, khung, sàn, mái, xây tô, đi ống điện nước âm)   ☐ hoàn thiện (ốp lát, sơn bả, lắp đặt điện nước, thiết bị)   ☐ khác: ....................................</w:t>
      </w:r>
    </w:p>
    <w:p>
      <w:pPr>
        <w:spacing w:after="80" w:line="312"/>
        <w:jc w:val="both"/>
      </w:pPr>
      <w:r>
        <w:rPr>
          <w:rFonts w:ascii="Times New Roman" w:cs="Times New Roman" w:eastAsia="Times New Roman" w:hAnsi="Times New Roman"/>
          <w:sz w:val="26"/>
          <w:szCs w:val="26"/>
        </w:rPr>
        <w:t xml:space="preserve">1.3. Bên B tự lo dụng cụ cầm tay, giàn giáo, cốp pha: ☐ có   ☐ không (Bên A lo). Máy trộn, máy đầm, máy cắt: ....................................</w:t>
      </w:r>
    </w:p>
    <w:p>
      <w:pPr>
        <w:spacing w:after="80" w:before="200"/>
      </w:pPr>
      <w:r>
        <w:rPr>
          <w:rFonts w:ascii="Times New Roman" w:cs="Times New Roman" w:eastAsia="Times New Roman" w:hAnsi="Times New Roman"/>
          <w:b/>
          <w:bCs/>
          <w:sz w:val="26"/>
          <w:szCs w:val="26"/>
        </w:rPr>
        <w:t xml:space="preserve">Điều 2. Giá trị khoán</w:t>
      </w:r>
    </w:p>
    <w:p>
      <w:pPr>
        <w:spacing w:after="80" w:line="312"/>
        <w:jc w:val="both"/>
      </w:pPr>
      <w:r>
        <w:rPr>
          <w:rFonts w:ascii="Times New Roman" w:cs="Times New Roman" w:eastAsia="Times New Roman" w:hAnsi="Times New Roman"/>
          <w:sz w:val="26"/>
          <w:szCs w:val="26"/>
        </w:rPr>
        <w:t xml:space="preserve">2.1. Tổng giá trị khoán: 367.500.000 đồng (bằng chữ: ..............................................................................).</w:t>
      </w:r>
    </w:p>
    <w:p>
      <w:pPr>
        <w:spacing w:after="80" w:line="312"/>
        <w:jc w:val="both"/>
      </w:pPr>
      <w:r>
        <w:rPr>
          <w:rFonts w:ascii="Times New Roman" w:cs="Times New Roman" w:eastAsia="Times New Roman" w:hAnsi="Times New Roman"/>
          <w:sz w:val="26"/>
          <w:szCs w:val="26"/>
        </w:rPr>
        <w:t xml:space="preserve">2.2. Giá khoán đã gồm toàn bộ tiền công, ăn ở, đi lại, bảo hộ lao động của người lao động Bên B. Không điều chỉnh giá trừ khi Bên A thay đổi thiết kế hoặc phát sinh khối lượng; phần phát sinh hai bên lập biên bản xác nhận khối lượng và đơn giá trước khi làm.</w:t>
      </w:r>
    </w:p>
    <w:p>
      <w:pPr>
        <w:spacing w:after="80" w:before="200"/>
      </w:pPr>
      <w:r>
        <w:rPr>
          <w:rFonts w:ascii="Times New Roman" w:cs="Times New Roman" w:eastAsia="Times New Roman" w:hAnsi="Times New Roman"/>
          <w:b/>
          <w:bCs/>
          <w:sz w:val="26"/>
          <w:szCs w:val="26"/>
        </w:rPr>
        <w:t xml:space="preserve">Điều 3. Thời gian thi công</w:t>
      </w:r>
    </w:p>
    <w:p>
      <w:pPr>
        <w:spacing w:after="80" w:line="312"/>
        <w:jc w:val="both"/>
      </w:pPr>
      <w:r>
        <w:rPr>
          <w:rFonts w:ascii="Times New Roman" w:cs="Times New Roman" w:eastAsia="Times New Roman" w:hAnsi="Times New Roman"/>
          <w:sz w:val="26"/>
          <w:szCs w:val="26"/>
        </w:rPr>
        <w:t xml:space="preserve">Khởi công ngày ....../....../.........; hoàn thành ngày ....../....../......... (tổng ........ ngày). Ngày mưa bão, ngày nghỉ theo quy định hoặc dừng do Bên A chậm cấp vật tư thì được cộng thêm, có ghi vào nhật ký công trình.</w:t>
      </w:r>
    </w:p>
    <w:p>
      <w:pPr>
        <w:spacing w:after="80" w:before="200"/>
      </w:pPr>
      <w:r>
        <w:rPr>
          <w:rFonts w:ascii="Times New Roman" w:cs="Times New Roman" w:eastAsia="Times New Roman" w:hAnsi="Times New Roman"/>
          <w:b/>
          <w:bCs/>
          <w:sz w:val="26"/>
          <w:szCs w:val="26"/>
        </w:rPr>
        <w:t xml:space="preserve">Điều 4. Tạm ứng và thanh toán</w:t>
      </w:r>
    </w:p>
    <w:p>
      <w:pPr>
        <w:spacing w:after="80" w:line="312"/>
        <w:jc w:val="both"/>
      </w:pPr>
      <w:r>
        <w:rPr>
          <w:rFonts w:ascii="Times New Roman" w:cs="Times New Roman" w:eastAsia="Times New Roman" w:hAnsi="Times New Roman"/>
          <w:sz w:val="26"/>
          <w:szCs w:val="26"/>
        </w:rPr>
        <w:t xml:space="preserve">4.1. Thanh toán theo tiến độ, mỗi đợt chỉ trả sau khi hai bên nghiệm thu giai đoạn tương ứng (có biên bản hoặc checklist nghiệm thu có chữ ký):</w:t>
      </w:r>
    </w:p>
    <w:tbl>
      <w:tblPr>
        <w:tblW w:type="pct" w:w="5000"/>
        <w:tblBorders>
          <w:top w:val="single" w:color="E5DCD3" w:sz="4"/>
          <w:left w:val="single" w:color="E5DCD3" w:sz="4"/>
          <w:bottom w:val="single" w:color="E5DCD3" w:sz="4"/>
          <w:right w:val="single" w:color="E5DCD3" w:sz="4"/>
          <w:insideH w:val="single" w:color="E5DCD3" w:sz="4"/>
          <w:insideV w:val="single" w:color="E5DCD3" w:sz="4"/>
        </w:tblBorders>
      </w:tblPr>
      <w:tblGrid>
        <w:gridCol w:w="726"/>
        <w:gridCol w:w="4898"/>
        <w:gridCol w:w="1089"/>
        <w:gridCol w:w="2358"/>
      </w:tblGrid>
      <w:tr>
        <w:trPr>
          <w:tblHeader/>
        </w:trPr>
        <w:tc>
          <w:tcPr>
            <w:tcW w:type="pct" w:w="400"/>
            <w:shd w:fill="8E1330" w:color="auto" w:val="clear"/>
            <w:tcMar>
              <w:top w:type="dxa" w:w="60"/>
              <w:left w:type="dxa" w:w="100"/>
              <w:bottom w:type="dxa" w:w="60"/>
              <w:right w:type="dxa" w:w="100"/>
            </w:tcMar>
          </w:tcPr>
          <w:p>
            <w:pPr>
              <w:jc w:val="center"/>
            </w:pPr>
            <w:r>
              <w:rPr>
                <w:rFonts w:ascii="Times New Roman" w:cs="Times New Roman" w:eastAsia="Times New Roman" w:hAnsi="Times New Roman"/>
                <w:b/>
                <w:bCs/>
                <w:color w:val="FFFFFF"/>
                <w:sz w:val="24"/>
                <w:szCs w:val="24"/>
              </w:rPr>
              <w:t xml:space="preserve">Đợt</w:t>
            </w:r>
          </w:p>
        </w:tc>
        <w:tc>
          <w:tcPr>
            <w:tcW w:type="pct" w:w="2700"/>
            <w:shd w:fill="8E1330" w:color="auto" w:val="clear"/>
            <w:tcMar>
              <w:top w:type="dxa" w:w="60"/>
              <w:left w:type="dxa" w:w="100"/>
              <w:bottom w:type="dxa" w:w="60"/>
              <w:right w:type="dxa" w:w="100"/>
            </w:tcMar>
          </w:tcPr>
          <w:p>
            <w:pPr>
              <w:jc w:val="center"/>
            </w:pPr>
            <w:r>
              <w:rPr>
                <w:rFonts w:ascii="Times New Roman" w:cs="Times New Roman" w:eastAsia="Times New Roman" w:hAnsi="Times New Roman"/>
                <w:b/>
                <w:bCs/>
                <w:color w:val="FFFFFF"/>
                <w:sz w:val="24"/>
                <w:szCs w:val="24"/>
              </w:rPr>
              <w:t xml:space="preserve">Mốc tiến độ (trả sau khi nghiệm thu)</w:t>
            </w:r>
          </w:p>
        </w:tc>
        <w:tc>
          <w:tcPr>
            <w:tcW w:type="pct" w:w="600"/>
            <w:shd w:fill="8E1330" w:color="auto" w:val="clear"/>
            <w:tcMar>
              <w:top w:type="dxa" w:w="60"/>
              <w:left w:type="dxa" w:w="100"/>
              <w:bottom w:type="dxa" w:w="60"/>
              <w:right w:type="dxa" w:w="100"/>
            </w:tcMar>
          </w:tcPr>
          <w:p>
            <w:pPr>
              <w:jc w:val="center"/>
            </w:pPr>
            <w:r>
              <w:rPr>
                <w:rFonts w:ascii="Times New Roman" w:cs="Times New Roman" w:eastAsia="Times New Roman" w:hAnsi="Times New Roman"/>
                <w:b/>
                <w:bCs/>
                <w:color w:val="FFFFFF"/>
                <w:sz w:val="24"/>
                <w:szCs w:val="24"/>
              </w:rPr>
              <w:t xml:space="preserve">Tỉ lệ</w:t>
            </w:r>
          </w:p>
        </w:tc>
        <w:tc>
          <w:tcPr>
            <w:tcW w:type="pct" w:w="1300"/>
            <w:shd w:fill="8E1330" w:color="auto" w:val="clear"/>
            <w:tcMar>
              <w:top w:type="dxa" w:w="60"/>
              <w:left w:type="dxa" w:w="100"/>
              <w:bottom w:type="dxa" w:w="60"/>
              <w:right w:type="dxa" w:w="100"/>
            </w:tcMar>
          </w:tcPr>
          <w:p>
            <w:pPr>
              <w:jc w:val="center"/>
            </w:pPr>
            <w:r>
              <w:rPr>
                <w:rFonts w:ascii="Times New Roman" w:cs="Times New Roman" w:eastAsia="Times New Roman" w:hAnsi="Times New Roman"/>
                <w:b/>
                <w:bCs/>
                <w:color w:val="FFFFFF"/>
                <w:sz w:val="24"/>
                <w:szCs w:val="24"/>
              </w:rPr>
              <w:t xml:space="preserve">Số tiền</w:t>
            </w:r>
          </w:p>
        </w:tc>
      </w:tr>
      <w:tr>
        <w:tc>
          <w:tcPr>
            <w:tcMar>
              <w:top w:type="dxa" w:w="60"/>
              <w:left w:type="dxa" w:w="100"/>
              <w:bottom w:type="dxa" w:w="60"/>
              <w:right w:type="dxa" w:w="100"/>
            </w:tcMar>
          </w:tcPr>
          <w:p>
            <w:pPr>
              <w:jc w:val="center"/>
            </w:pPr>
            <w:r>
              <w:rPr>
                <w:rFonts w:ascii="Times New Roman" w:cs="Times New Roman" w:eastAsia="Times New Roman" w:hAnsi="Times New Roman"/>
                <w:sz w:val="24"/>
                <w:szCs w:val="24"/>
              </w:rPr>
              <w:t xml:space="preserve">1</w:t>
            </w:r>
          </w:p>
        </w:tc>
        <w:tc>
          <w:tcPr>
            <w:tcMar>
              <w:top w:type="dxa" w:w="60"/>
              <w:left w:type="dxa" w:w="100"/>
              <w:bottom w:type="dxa" w:w="60"/>
              <w:right w:type="dxa" w:w="100"/>
            </w:tcMar>
          </w:tcPr>
          <w:p>
            <w:pPr>
              <w:jc w:val="left"/>
            </w:pPr>
            <w:r>
              <w:rPr>
                <w:rFonts w:ascii="Times New Roman" w:cs="Times New Roman" w:eastAsia="Times New Roman" w:hAnsi="Times New Roman"/>
                <w:sz w:val="24"/>
                <w:szCs w:val="24"/>
              </w:rPr>
              <w:t xml:space="preserve">Ký hợp đồng, tạm ứng khởi công</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10%</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36.750.000 đồng</w:t>
            </w:r>
          </w:p>
        </w:tc>
      </w:tr>
      <w:tr>
        <w:tc>
          <w:tcPr>
            <w:shd w:fill="FBF7F2" w:color="auto" w:val="clear"/>
            <w:tcMar>
              <w:top w:type="dxa" w:w="60"/>
              <w:left w:type="dxa" w:w="100"/>
              <w:bottom w:type="dxa" w:w="60"/>
              <w:right w:type="dxa" w:w="100"/>
            </w:tcMar>
          </w:tcPr>
          <w:p>
            <w:pPr>
              <w:jc w:val="center"/>
            </w:pPr>
            <w:r>
              <w:rPr>
                <w:rFonts w:ascii="Times New Roman" w:cs="Times New Roman" w:eastAsia="Times New Roman" w:hAnsi="Times New Roman"/>
                <w:sz w:val="24"/>
                <w:szCs w:val="24"/>
              </w:rPr>
              <w:t xml:space="preserve">2</w:t>
            </w:r>
          </w:p>
        </w:tc>
        <w:tc>
          <w:tcPr>
            <w:shd w:fill="FBF7F2" w:color="auto" w:val="clear"/>
            <w:tcMar>
              <w:top w:type="dxa" w:w="60"/>
              <w:left w:type="dxa" w:w="100"/>
              <w:bottom w:type="dxa" w:w="60"/>
              <w:right w:type="dxa" w:w="100"/>
            </w:tcMar>
          </w:tcPr>
          <w:p>
            <w:pPr>
              <w:jc w:val="left"/>
            </w:pPr>
            <w:r>
              <w:rPr>
                <w:rFonts w:ascii="Times New Roman" w:cs="Times New Roman" w:eastAsia="Times New Roman" w:hAnsi="Times New Roman"/>
                <w:sz w:val="24"/>
                <w:szCs w:val="24"/>
              </w:rPr>
              <w:t xml:space="preserve">Nghiệm thu móng, đà kiềng</w:t>
            </w:r>
          </w:p>
        </w:tc>
        <w:tc>
          <w:tcPr>
            <w:shd w:fill="FBF7F2" w:color="auto" w:val="clea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15%</w:t>
            </w:r>
          </w:p>
        </w:tc>
        <w:tc>
          <w:tcPr>
            <w:shd w:fill="FBF7F2" w:color="auto" w:val="clea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55.125.000 đồng</w:t>
            </w:r>
          </w:p>
        </w:tc>
      </w:tr>
      <w:tr>
        <w:tc>
          <w:tcPr>
            <w:tcMar>
              <w:top w:type="dxa" w:w="60"/>
              <w:left w:type="dxa" w:w="100"/>
              <w:bottom w:type="dxa" w:w="60"/>
              <w:right w:type="dxa" w:w="100"/>
            </w:tcMar>
          </w:tcPr>
          <w:p>
            <w:pPr>
              <w:jc w:val="center"/>
            </w:pPr>
            <w:r>
              <w:rPr>
                <w:rFonts w:ascii="Times New Roman" w:cs="Times New Roman" w:eastAsia="Times New Roman" w:hAnsi="Times New Roman"/>
                <w:sz w:val="24"/>
                <w:szCs w:val="24"/>
              </w:rPr>
              <w:t xml:space="preserve">3</w:t>
            </w:r>
          </w:p>
        </w:tc>
        <w:tc>
          <w:tcPr>
            <w:tcMar>
              <w:top w:type="dxa" w:w="60"/>
              <w:left w:type="dxa" w:w="100"/>
              <w:bottom w:type="dxa" w:w="60"/>
              <w:right w:type="dxa" w:w="100"/>
            </w:tcMar>
          </w:tcPr>
          <w:p>
            <w:pPr>
              <w:jc w:val="left"/>
            </w:pPr>
            <w:r>
              <w:rPr>
                <w:rFonts w:ascii="Times New Roman" w:cs="Times New Roman" w:eastAsia="Times New Roman" w:hAnsi="Times New Roman"/>
                <w:sz w:val="24"/>
                <w:szCs w:val="24"/>
              </w:rPr>
              <w:t xml:space="preserve">Đổ xong sàn các tầng (có thể chia theo từng sàn)</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25%</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91.875.000 đồng</w:t>
            </w:r>
          </w:p>
        </w:tc>
      </w:tr>
      <w:tr>
        <w:tc>
          <w:tcPr>
            <w:shd w:fill="FBF7F2" w:color="auto" w:val="clear"/>
            <w:tcMar>
              <w:top w:type="dxa" w:w="60"/>
              <w:left w:type="dxa" w:w="100"/>
              <w:bottom w:type="dxa" w:w="60"/>
              <w:right w:type="dxa" w:w="100"/>
            </w:tcMar>
          </w:tcPr>
          <w:p>
            <w:pPr>
              <w:jc w:val="center"/>
            </w:pPr>
            <w:r>
              <w:rPr>
                <w:rFonts w:ascii="Times New Roman" w:cs="Times New Roman" w:eastAsia="Times New Roman" w:hAnsi="Times New Roman"/>
                <w:sz w:val="24"/>
                <w:szCs w:val="24"/>
              </w:rPr>
              <w:t xml:space="preserve">4</w:t>
            </w:r>
          </w:p>
        </w:tc>
        <w:tc>
          <w:tcPr>
            <w:shd w:fill="FBF7F2" w:color="auto" w:val="clear"/>
            <w:tcMar>
              <w:top w:type="dxa" w:w="60"/>
              <w:left w:type="dxa" w:w="100"/>
              <w:bottom w:type="dxa" w:w="60"/>
              <w:right w:type="dxa" w:w="100"/>
            </w:tcMar>
          </w:tcPr>
          <w:p>
            <w:pPr>
              <w:jc w:val="left"/>
            </w:pPr>
            <w:r>
              <w:rPr>
                <w:rFonts w:ascii="Times New Roman" w:cs="Times New Roman" w:eastAsia="Times New Roman" w:hAnsi="Times New Roman"/>
                <w:sz w:val="24"/>
                <w:szCs w:val="24"/>
              </w:rPr>
              <w:t xml:space="preserve">Xong mái, xây tô hoàn chỉnh</w:t>
            </w:r>
          </w:p>
        </w:tc>
        <w:tc>
          <w:tcPr>
            <w:shd w:fill="FBF7F2" w:color="auto" w:val="clea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20%</w:t>
            </w:r>
          </w:p>
        </w:tc>
        <w:tc>
          <w:tcPr>
            <w:shd w:fill="FBF7F2" w:color="auto" w:val="clea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73.500.000 đồng</w:t>
            </w:r>
          </w:p>
        </w:tc>
      </w:tr>
      <w:tr>
        <w:tc>
          <w:tcPr>
            <w:tcMar>
              <w:top w:type="dxa" w:w="60"/>
              <w:left w:type="dxa" w:w="100"/>
              <w:bottom w:type="dxa" w:w="60"/>
              <w:right w:type="dxa" w:w="100"/>
            </w:tcMar>
          </w:tcPr>
          <w:p>
            <w:pPr>
              <w:jc w:val="center"/>
            </w:pPr>
            <w:r>
              <w:rPr>
                <w:rFonts w:ascii="Times New Roman" w:cs="Times New Roman" w:eastAsia="Times New Roman" w:hAnsi="Times New Roman"/>
                <w:sz w:val="24"/>
                <w:szCs w:val="24"/>
              </w:rPr>
              <w:t xml:space="preserve">5</w:t>
            </w:r>
          </w:p>
        </w:tc>
        <w:tc>
          <w:tcPr>
            <w:tcMar>
              <w:top w:type="dxa" w:w="60"/>
              <w:left w:type="dxa" w:w="100"/>
              <w:bottom w:type="dxa" w:w="60"/>
              <w:right w:type="dxa" w:w="100"/>
            </w:tcMar>
          </w:tcPr>
          <w:p>
            <w:pPr>
              <w:jc w:val="left"/>
            </w:pPr>
            <w:r>
              <w:rPr>
                <w:rFonts w:ascii="Times New Roman" w:cs="Times New Roman" w:eastAsia="Times New Roman" w:hAnsi="Times New Roman"/>
                <w:sz w:val="24"/>
                <w:szCs w:val="24"/>
              </w:rPr>
              <w:t xml:space="preserve">Xong điện nước, ốp lát, sơn bả</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15%</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55.125.000 đồng</w:t>
            </w:r>
          </w:p>
        </w:tc>
      </w:tr>
      <w:tr>
        <w:tc>
          <w:tcPr>
            <w:shd w:fill="FBF7F2" w:color="auto" w:val="clear"/>
            <w:tcMar>
              <w:top w:type="dxa" w:w="60"/>
              <w:left w:type="dxa" w:w="100"/>
              <w:bottom w:type="dxa" w:w="60"/>
              <w:right w:type="dxa" w:w="100"/>
            </w:tcMar>
          </w:tcPr>
          <w:p>
            <w:pPr>
              <w:jc w:val="center"/>
            </w:pPr>
            <w:r>
              <w:rPr>
                <w:rFonts w:ascii="Times New Roman" w:cs="Times New Roman" w:eastAsia="Times New Roman" w:hAnsi="Times New Roman"/>
                <w:sz w:val="24"/>
                <w:szCs w:val="24"/>
              </w:rPr>
              <w:t xml:space="preserve">6</w:t>
            </w:r>
          </w:p>
        </w:tc>
        <w:tc>
          <w:tcPr>
            <w:shd w:fill="FBF7F2" w:color="auto" w:val="clear"/>
            <w:tcMar>
              <w:top w:type="dxa" w:w="60"/>
              <w:left w:type="dxa" w:w="100"/>
              <w:bottom w:type="dxa" w:w="60"/>
              <w:right w:type="dxa" w:w="100"/>
            </w:tcMar>
          </w:tcPr>
          <w:p>
            <w:pPr>
              <w:jc w:val="left"/>
            </w:pPr>
            <w:r>
              <w:rPr>
                <w:rFonts w:ascii="Times New Roman" w:cs="Times New Roman" w:eastAsia="Times New Roman" w:hAnsi="Times New Roman"/>
                <w:sz w:val="24"/>
                <w:szCs w:val="24"/>
              </w:rPr>
              <w:t xml:space="preserve">Nghiệm thu hoàn thành, bàn giao</w:t>
            </w:r>
          </w:p>
        </w:tc>
        <w:tc>
          <w:tcPr>
            <w:shd w:fill="FBF7F2" w:color="auto" w:val="clea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10%</w:t>
            </w:r>
          </w:p>
        </w:tc>
        <w:tc>
          <w:tcPr>
            <w:shd w:fill="FBF7F2" w:color="auto" w:val="clea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36.750.000 đồng</w:t>
            </w:r>
          </w:p>
        </w:tc>
      </w:tr>
      <w:tr>
        <w:tc>
          <w:tcPr>
            <w:tcMar>
              <w:top w:type="dxa" w:w="60"/>
              <w:left w:type="dxa" w:w="100"/>
              <w:bottom w:type="dxa" w:w="60"/>
              <w:right w:type="dxa" w:w="100"/>
            </w:tcMar>
          </w:tcPr>
          <w:p>
            <w:pPr>
              <w:jc w:val="center"/>
            </w:pPr>
            <w:r>
              <w:rPr>
                <w:rFonts w:ascii="Times New Roman" w:cs="Times New Roman" w:eastAsia="Times New Roman" w:hAnsi="Times New Roman"/>
                <w:sz w:val="24"/>
                <w:szCs w:val="24"/>
              </w:rPr>
              <w:t xml:space="preserve">7</w:t>
            </w:r>
          </w:p>
        </w:tc>
        <w:tc>
          <w:tcPr>
            <w:tcMar>
              <w:top w:type="dxa" w:w="60"/>
              <w:left w:type="dxa" w:w="100"/>
              <w:bottom w:type="dxa" w:w="60"/>
              <w:right w:type="dxa" w:w="100"/>
            </w:tcMar>
          </w:tcPr>
          <w:p>
            <w:pPr>
              <w:jc w:val="left"/>
            </w:pPr>
            <w:r>
              <w:rPr>
                <w:rFonts w:ascii="Times New Roman" w:cs="Times New Roman" w:eastAsia="Times New Roman" w:hAnsi="Times New Roman"/>
                <w:sz w:val="24"/>
                <w:szCs w:val="24"/>
              </w:rPr>
              <w:t xml:space="preserve">Giữ lại bảo hành, trả sau 12 tháng kể từ ngày bàn giao nếu không có hư hỏng phải sửa</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5%</w:t>
            </w:r>
          </w:p>
        </w:tc>
        <w:tc>
          <w:tcPr>
            <w:tcMar>
              <w:top w:type="dxa" w:w="60"/>
              <w:left w:type="dxa" w:w="100"/>
              <w:bottom w:type="dxa" w:w="60"/>
              <w:right w:type="dxa" w:w="100"/>
            </w:tcMar>
          </w:tcPr>
          <w:p>
            <w:pPr>
              <w:jc w:val="right"/>
            </w:pPr>
            <w:r>
              <w:rPr>
                <w:rFonts w:ascii="Times New Roman" w:cs="Times New Roman" w:eastAsia="Times New Roman" w:hAnsi="Times New Roman"/>
                <w:sz w:val="24"/>
                <w:szCs w:val="24"/>
              </w:rPr>
              <w:t xml:space="preserve">18.375.000 đồng</w:t>
            </w:r>
          </w:p>
        </w:tc>
      </w:tr>
    </w:tbl>
    <w:p>
      <w:pPr>
        <w:spacing w:after="80" w:line="312"/>
        <w:jc w:val="both"/>
      </w:pPr>
      <w:r>
        <w:rPr>
          <w:rFonts w:ascii="Times New Roman" w:cs="Times New Roman" w:eastAsia="Times New Roman" w:hAnsi="Times New Roman"/>
          <w:sz w:val="26"/>
          <w:szCs w:val="26"/>
        </w:rPr>
        <w:t xml:space="preserve">4.2. Tạm ứng giữa các đợt (nếu có) được trừ vào đợt thanh toán kế tiếp. Mỗi lần nhận tiền, người nhận ký vào sổ tạm ứng của Bên A; chuyển khoản thì ghi rõ nội dung "tạm ứng đợt ...". Tổng tạm ứng không vượt giá trị phần việc đã làm.</w:t>
      </w:r>
    </w:p>
    <w:p>
      <w:pPr>
        <w:spacing w:after="80" w:line="312"/>
        <w:jc w:val="both"/>
      </w:pPr>
      <w:r>
        <w:rPr>
          <w:rFonts w:ascii="Times New Roman" w:cs="Times New Roman" w:eastAsia="Times New Roman" w:hAnsi="Times New Roman"/>
          <w:sz w:val="26"/>
          <w:szCs w:val="26"/>
        </w:rPr>
        <w:t xml:space="preserve">4.3. Hình thức: ☐ tiền mặt   ☐ chuyển khoản vào tài khoản ghi ở trên.</w:t>
      </w:r>
    </w:p>
    <w:p>
      <w:pPr>
        <w:spacing w:after="80" w:before="200"/>
      </w:pPr>
      <w:r>
        <w:rPr>
          <w:rFonts w:ascii="Times New Roman" w:cs="Times New Roman" w:eastAsia="Times New Roman" w:hAnsi="Times New Roman"/>
          <w:b/>
          <w:bCs/>
          <w:sz w:val="26"/>
          <w:szCs w:val="26"/>
        </w:rPr>
        <w:t xml:space="preserve">Điều 5. Quyền và nghĩa vụ của Bên A</w:t>
      </w:r>
    </w:p>
    <w:p>
      <w:pPr>
        <w:spacing w:after="80" w:line="312"/>
        <w:jc w:val="both"/>
      </w:pPr>
      <w:r>
        <w:rPr>
          <w:rFonts w:ascii="Times New Roman" w:cs="Times New Roman" w:eastAsia="Times New Roman" w:hAnsi="Times New Roman"/>
          <w:sz w:val="26"/>
          <w:szCs w:val="26"/>
        </w:rPr>
        <w:t xml:space="preserve">5.1. Giao mặt bằng, bản vẽ, cấp vật tư đúng chủng loại, đủ số lượng, đúng thời gian để không làm gián đoạn thi công.</w:t>
      </w:r>
    </w:p>
    <w:p>
      <w:pPr>
        <w:spacing w:after="80" w:line="312"/>
        <w:jc w:val="both"/>
      </w:pPr>
      <w:r>
        <w:rPr>
          <w:rFonts w:ascii="Times New Roman" w:cs="Times New Roman" w:eastAsia="Times New Roman" w:hAnsi="Times New Roman"/>
          <w:sz w:val="26"/>
          <w:szCs w:val="26"/>
        </w:rPr>
        <w:t xml:space="preserve">5.2. Kiểm tra, nghiệm thu từng giai đoạn; có quyền yêu cầu làm lại phần việc sai bản vẽ, sai kỹ thuật bằng chi phí của Bên B.</w:t>
      </w:r>
    </w:p>
    <w:p>
      <w:pPr>
        <w:spacing w:after="80" w:line="312"/>
        <w:jc w:val="both"/>
      </w:pPr>
      <w:r>
        <w:rPr>
          <w:rFonts w:ascii="Times New Roman" w:cs="Times New Roman" w:eastAsia="Times New Roman" w:hAnsi="Times New Roman"/>
          <w:sz w:val="26"/>
          <w:szCs w:val="26"/>
        </w:rPr>
        <w:t xml:space="preserve">5.3. Thanh toán đúng hạn theo Điều 4.</w:t>
      </w:r>
    </w:p>
    <w:p>
      <w:pPr>
        <w:spacing w:after="80" w:before="200"/>
      </w:pPr>
      <w:r>
        <w:rPr>
          <w:rFonts w:ascii="Times New Roman" w:cs="Times New Roman" w:eastAsia="Times New Roman" w:hAnsi="Times New Roman"/>
          <w:b/>
          <w:bCs/>
          <w:sz w:val="26"/>
          <w:szCs w:val="26"/>
        </w:rPr>
        <w:t xml:space="preserve">Điều 6. Quyền và nghĩa vụ của Bên B</w:t>
      </w:r>
    </w:p>
    <w:p>
      <w:pPr>
        <w:spacing w:after="80" w:line="312"/>
        <w:jc w:val="both"/>
      </w:pPr>
      <w:r>
        <w:rPr>
          <w:rFonts w:ascii="Times New Roman" w:cs="Times New Roman" w:eastAsia="Times New Roman" w:hAnsi="Times New Roman"/>
          <w:sz w:val="26"/>
          <w:szCs w:val="26"/>
        </w:rPr>
        <w:t xml:space="preserve">6.1. Thi công đúng bản vẽ, đúng kỹ thuật; báo Bên A trước khi đổ bê tông, trước khi che lấp phần ẩn (thép, ống điện nước) để Bên A kiểm tra.</w:t>
      </w:r>
    </w:p>
    <w:p>
      <w:pPr>
        <w:spacing w:after="80" w:line="312"/>
        <w:jc w:val="both"/>
      </w:pPr>
      <w:r>
        <w:rPr>
          <w:rFonts w:ascii="Times New Roman" w:cs="Times New Roman" w:eastAsia="Times New Roman" w:hAnsi="Times New Roman"/>
          <w:sz w:val="26"/>
          <w:szCs w:val="26"/>
        </w:rPr>
        <w:t xml:space="preserve">6.2. Dùng vật tư tiết kiệm, đúng mục đích; bảo quản vật tư, dụng cụ Bên A giao; làm hư hỏng, mất mát do lỗi của mình thì bồi thường.</w:t>
      </w:r>
    </w:p>
    <w:p>
      <w:pPr>
        <w:spacing w:after="80" w:line="312"/>
        <w:jc w:val="both"/>
      </w:pPr>
      <w:r>
        <w:rPr>
          <w:rFonts w:ascii="Times New Roman" w:cs="Times New Roman" w:eastAsia="Times New Roman" w:hAnsi="Times New Roman"/>
          <w:sz w:val="26"/>
          <w:szCs w:val="26"/>
        </w:rPr>
        <w:t xml:space="preserve">6.3. Tự chịu trách nhiệm về an toàn lao động của người lao động Bên B (giàn giáo, dây an toàn, mũ, che chắn), vệ sinh môi trường và không gây ảnh hưởng nhà bên cạnh. Gây thiệt hại cho người thứ ba do lỗi thi công thì Bên B bồi thường.</w:t>
      </w:r>
    </w:p>
    <w:p>
      <w:pPr>
        <w:spacing w:after="80" w:line="312"/>
        <w:jc w:val="both"/>
      </w:pPr>
      <w:r>
        <w:rPr>
          <w:rFonts w:ascii="Times New Roman" w:cs="Times New Roman" w:eastAsia="Times New Roman" w:hAnsi="Times New Roman"/>
          <w:sz w:val="26"/>
          <w:szCs w:val="26"/>
        </w:rPr>
        <w:t xml:space="preserve">6.4. Không tự ý giao lại toàn bộ công việc cho đội khác khi chưa có đồng ý của Bên A.</w:t>
      </w:r>
    </w:p>
    <w:p>
      <w:pPr>
        <w:spacing w:after="80" w:before="200"/>
      </w:pPr>
      <w:r>
        <w:rPr>
          <w:rFonts w:ascii="Times New Roman" w:cs="Times New Roman" w:eastAsia="Times New Roman" w:hAnsi="Times New Roman"/>
          <w:b/>
          <w:bCs/>
          <w:sz w:val="26"/>
          <w:szCs w:val="26"/>
        </w:rPr>
        <w:t xml:space="preserve">Điều 7. Bảo hành</w:t>
      </w:r>
    </w:p>
    <w:p>
      <w:pPr>
        <w:spacing w:after="80" w:line="312"/>
        <w:jc w:val="both"/>
      </w:pPr>
      <w:r>
        <w:rPr>
          <w:rFonts w:ascii="Times New Roman" w:cs="Times New Roman" w:eastAsia="Times New Roman" w:hAnsi="Times New Roman"/>
          <w:sz w:val="26"/>
          <w:szCs w:val="26"/>
        </w:rPr>
        <w:t xml:space="preserve">Bên B bảo hành phần việc nhân công trong 12 tháng kể từ ngày bàn giao (nứt, thấm, bong tróc do lỗi thi công). Trong 7 ngày kể từ khi Bên A báo, Bên B phải đến sửa; không sửa thì Bên A thuê người khác và trừ vào tiền bảo hành giữ lại.</w:t>
      </w:r>
    </w:p>
    <w:p>
      <w:pPr>
        <w:spacing w:after="80" w:before="200"/>
      </w:pPr>
      <w:r>
        <w:rPr>
          <w:rFonts w:ascii="Times New Roman" w:cs="Times New Roman" w:eastAsia="Times New Roman" w:hAnsi="Times New Roman"/>
          <w:b/>
          <w:bCs/>
          <w:sz w:val="26"/>
          <w:szCs w:val="26"/>
        </w:rPr>
        <w:t xml:space="preserve">Điều 8. Chậm tiến độ, chấm dứt hợp đồng</w:t>
      </w:r>
    </w:p>
    <w:p>
      <w:pPr>
        <w:spacing w:after="80" w:line="312"/>
        <w:jc w:val="both"/>
      </w:pPr>
      <w:r>
        <w:rPr>
          <w:rFonts w:ascii="Times New Roman" w:cs="Times New Roman" w:eastAsia="Times New Roman" w:hAnsi="Times New Roman"/>
          <w:sz w:val="26"/>
          <w:szCs w:val="26"/>
        </w:rPr>
        <w:t xml:space="preserve">8.1. Bên B chậm hoàn thành so với Điều 3 (không do lỗi Bên A hay thời tiết) thì bị trừ ........ đồng mỗi ngày, tối đa ........% giá trị khoán.</w:t>
      </w:r>
    </w:p>
    <w:p>
      <w:pPr>
        <w:spacing w:after="80" w:line="312"/>
        <w:jc w:val="both"/>
      </w:pPr>
      <w:r>
        <w:rPr>
          <w:rFonts w:ascii="Times New Roman" w:cs="Times New Roman" w:eastAsia="Times New Roman" w:hAnsi="Times New Roman"/>
          <w:sz w:val="26"/>
          <w:szCs w:val="26"/>
        </w:rPr>
        <w:t xml:space="preserve">8.2. Một bên vi phạm nghiêm trọng (bỏ công trình quá ........ ngày, không thanh toán quá ........ ngày sau nghiệm thu) thì bên kia được đơn phương chấm dứt, hai bên chốt khối lượng đã làm để thanh toán, bù trừ tạm ứng và thiệt hại.</w:t>
      </w:r>
    </w:p>
    <w:p>
      <w:pPr>
        <w:spacing w:after="80" w:before="200"/>
      </w:pPr>
      <w:r>
        <w:rPr>
          <w:rFonts w:ascii="Times New Roman" w:cs="Times New Roman" w:eastAsia="Times New Roman" w:hAnsi="Times New Roman"/>
          <w:b/>
          <w:bCs/>
          <w:sz w:val="26"/>
          <w:szCs w:val="26"/>
        </w:rPr>
        <w:t xml:space="preserve">Điều 9. Điều khoản chung</w:t>
      </w:r>
    </w:p>
    <w:p>
      <w:pPr>
        <w:spacing w:after="80" w:line="312"/>
        <w:jc w:val="both"/>
      </w:pPr>
      <w:r>
        <w:rPr>
          <w:rFonts w:ascii="Times New Roman" w:cs="Times New Roman" w:eastAsia="Times New Roman" w:hAnsi="Times New Roman"/>
          <w:sz w:val="26"/>
          <w:szCs w:val="26"/>
        </w:rPr>
        <w:t xml:space="preserve">Tranh chấp được thương lượng; không thương lượng được thì đưa ra Tòa án nhân dân có thẩm quyền. Hợp đồng lập thành 02 bản, mỗi bên giữ 01 bản, có hiệu lực từ ngày ký. Phụ lục, biên bản nghiệm thu, sổ tạm ứng là phần không tách rời của hợp đồng.</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c>
          <w:p>
            <w:pPr>
              <w:spacing w:before="300"/>
              <w:jc w:val="center"/>
            </w:pPr>
            <w:r>
              <w:rPr>
                <w:rFonts w:ascii="Times New Roman" w:cs="Times New Roman" w:eastAsia="Times New Roman" w:hAnsi="Times New Roman"/>
                <w:b/>
                <w:bCs/>
                <w:sz w:val="26"/>
                <w:szCs w:val="26"/>
              </w:rPr>
              <w:t xml:space="preserve">BÊN A</w:t>
            </w:r>
          </w:p>
          <w:p>
            <w:pPr>
              <w:jc w:val="center"/>
            </w:pPr>
            <w:r>
              <w:rPr>
                <w:rFonts w:ascii="Times New Roman" w:cs="Times New Roman" w:eastAsia="Times New Roman" w:hAnsi="Times New Roman"/>
                <w:i/>
                <w:iCs/>
                <w:sz w:val="26"/>
                <w:szCs w:val="26"/>
              </w:rPr>
              <w:t xml:space="preserve">(ký, ghi rõ họ tên)</w:t>
            </w:r>
          </w:p>
        </w:tc>
        <w:tc>
          <w:p>
            <w:pPr>
              <w:spacing w:before="300"/>
              <w:jc w:val="center"/>
            </w:pPr>
            <w:r>
              <w:rPr>
                <w:rFonts w:ascii="Times New Roman" w:cs="Times New Roman" w:eastAsia="Times New Roman" w:hAnsi="Times New Roman"/>
                <w:b/>
                <w:bCs/>
                <w:sz w:val="26"/>
                <w:szCs w:val="26"/>
              </w:rPr>
              <w:t xml:space="preserve">BÊN B</w:t>
            </w:r>
          </w:p>
          <w:p>
            <w:pPr>
              <w:jc w:val="center"/>
            </w:pPr>
            <w:r>
              <w:rPr>
                <w:rFonts w:ascii="Times New Roman" w:cs="Times New Roman" w:eastAsia="Times New Roman" w:hAnsi="Times New Roman"/>
                <w:i/>
                <w:iCs/>
                <w:sz w:val="26"/>
                <w:szCs w:val="26"/>
              </w:rPr>
              <w:t xml:space="preserve">(ký, ghi rõ họ tên)</w:t>
            </w:r>
          </w:p>
        </w:tc>
      </w:tr>
    </w:tbl>
    <w:sectPr>
      <w:footerReference w:type="default" r:id="rId7"/>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CD3" w:sz="4" w:space="4"/>
      </w:pBdr>
      <w:jc w:val="left"/>
    </w:pPr>
    <w:r>
      <w:rPr>
        <w:rFonts w:ascii="Arial" w:cs="Arial" w:eastAsia="Arial" w:hAnsi="Arial"/>
        <w:b/>
        <w:bCs/>
        <w:color w:val="8E1330"/>
        <w:sz w:val="15"/>
        <w:szCs w:val="15"/>
      </w:rPr>
      <w:t xml:space="preserve">BẢN MẪU – dữ liệu giả    ·    </w:t>
    </w:r>
    <w:r>
      <w:rPr>
        <w:rFonts w:ascii="Arial" w:cs="Arial" w:eastAsia="Arial" w:hAnsi="Arial"/>
        <w:color w:val="6B625C"/>
        <w:sz w:val="15"/>
        <w:szCs w:val="15"/>
      </w:rPr>
      <w:t xml:space="preserve">Tạo bởi Sổ tay chủ nhà tự xây · xaynha.hoagao.store · support@hoagao.store    ·    </w:t>
    </w:r>
    <w:r>
      <w:rPr>
        <w:rFonts w:ascii="Arial" w:cs="Arial" w:eastAsia="Arial" w:hAnsi="Arial"/>
        <w:color w:val="6B625C"/>
        <w:sz w:val="15"/>
        <w:szCs w:val="15"/>
      </w:rPr>
      <w:t xml:space="preserve">Trang </w:t>
    </w:r>
    <w:r>
      <w:rPr>
        <w:rFonts w:ascii="Arial" w:cs="Arial" w:eastAsia="Arial" w:hAnsi="Arial"/>
        <w:color w:val="6B625C"/>
        <w:sz w:val="15"/>
        <w:szCs w:val="15"/>
      </w:rPr>
      <w:fldChar w:fldCharType="begin"/>
    </w:r>
    <w:r>
      <w:rPr>
        <w:rFonts w:ascii="Arial" w:cs="Arial" w:eastAsia="Arial" w:hAnsi="Arial"/>
        <w:color w:val="6B625C"/>
        <w:sz w:val="15"/>
        <w:szCs w:val="15"/>
      </w:rPr>
      <w:instrText xml:space="preserve">PAGE</w:instrText>
    </w:r>
    <w:r>
      <w:rPr>
        <w:rFonts w:ascii="Arial" w:cs="Arial" w:eastAsia="Arial" w:hAnsi="Arial"/>
        <w:color w:val="6B625C"/>
        <w:sz w:val="15"/>
        <w:szCs w:val="15"/>
      </w:rPr>
      <w:fldChar w:fldCharType="separate"/>
    </w:r>
    <w:r>
      <w:rPr>
        <w:rFonts w:ascii="Arial" w:cs="Arial" w:eastAsia="Arial" w:hAnsi="Arial"/>
        <w:color w:val="6B625C"/>
        <w:sz w:val="15"/>
        <w:szCs w:val="15"/>
      </w:rPr>
      <w:fldChar w:fldCharType="end"/>
    </w:r>
    <w:r>
      <w:rPr>
        <w:rFonts w:ascii="Arial" w:cs="Arial" w:eastAsia="Arial" w:hAnsi="Arial"/>
        <w:color w:val="6B625C"/>
        <w:sz w:val="15"/>
        <w:szCs w:val="15"/>
      </w:rPr>
      <w:t xml:space="preserve">/</w:t>
    </w:r>
    <w:r>
      <w:rPr>
        <w:rFonts w:ascii="Arial" w:cs="Arial" w:eastAsia="Arial" w:hAnsi="Arial"/>
        <w:color w:val="6B625C"/>
        <w:sz w:val="15"/>
        <w:szCs w:val="15"/>
      </w:rPr>
      <w:fldChar w:fldCharType="begin"/>
    </w:r>
    <w:r>
      <w:rPr>
        <w:rFonts w:ascii="Arial" w:cs="Arial" w:eastAsia="Arial" w:hAnsi="Arial"/>
        <w:color w:val="6B625C"/>
        <w:sz w:val="15"/>
        <w:szCs w:val="15"/>
      </w:rPr>
      <w:instrText xml:space="preserve">NUMPAGES</w:instrText>
    </w:r>
    <w:r>
      <w:rPr>
        <w:rFonts w:ascii="Arial" w:cs="Arial" w:eastAsia="Arial" w:hAnsi="Arial"/>
        <w:color w:val="6B625C"/>
        <w:sz w:val="15"/>
        <w:szCs w:val="15"/>
      </w:rPr>
      <w:fldChar w:fldCharType="separate"/>
    </w:r>
    <w:r>
      <w:rPr>
        <w:rFonts w:ascii="Arial" w:cs="Arial" w:eastAsia="Arial" w:hAnsi="Arial"/>
        <w:color w:val="6B625C"/>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bCs/>
        <w:color w:val="8E1330"/>
        <w:sz w:val="15"/>
        <w:szCs w:val="15"/>
      </w:rPr>
      <w:t xml:space="preserve">BẢN MẪU – dữ liệu giả    ·    </w:t>
    </w:r>
    <w:r>
      <w:rPr>
        <w:rFonts w:ascii="Times New Roman" w:cs="Times New Roman" w:eastAsia="Times New Roman" w:hAnsi="Times New Roman"/>
        <w:sz w:val="20"/>
        <w:szCs w:val="20"/>
      </w:rPr>
      <w:t xml:space="preserve">Trang </w:t>
    </w:r>
    <w:r>
      <w:rPr>
        <w:rFonts w:ascii="Times New Roman" w:cs="Times New Roman" w:eastAsia="Times New Roman" w:hAnsi="Times New Roman"/>
        <w:sz w:val="20"/>
        <w:szCs w:val="20"/>
      </w:rPr>
      <w:fldChar w:fldCharType="begin"/>
    </w:r>
    <w:r>
      <w:rPr>
        <w:rFonts w:ascii="Times New Roman" w:cs="Times New Roman" w:eastAsia="Times New Roman" w:hAnsi="Times New Roman"/>
        <w:sz w:val="20"/>
        <w:szCs w:val="20"/>
      </w:rPr>
      <w:instrText xml:space="preserve">PAGE</w:instrText>
    </w:r>
    <w:r>
      <w:rPr>
        <w:rFonts w:ascii="Times New Roman" w:cs="Times New Roman" w:eastAsia="Times New Roman" w:hAnsi="Times New Roman"/>
        <w:sz w:val="20"/>
        <w:szCs w:val="20"/>
      </w:rPr>
      <w:fldChar w:fldCharType="separate"/>
    </w:r>
    <w:r>
      <w:rPr>
        <w:rFonts w:ascii="Times New Roman" w:cs="Times New Roman" w:eastAsia="Times New Roman" w:hAnsi="Times New Roman"/>
        <w:sz w:val="20"/>
        <w:szCs w:val="20"/>
      </w:rPr>
      <w:fldChar w:fldCharType="end"/>
    </w:r>
    <w:r>
      <w:rPr>
        <w:rFonts w:ascii="Times New Roman" w:cs="Times New Roman" w:eastAsia="Times New Roman" w:hAnsi="Times New Roman"/>
        <w:sz w:val="20"/>
        <w:szCs w:val="20"/>
      </w:rPr>
      <w:t xml:space="preserve">/</w:t>
    </w:r>
    <w:r>
      <w:rPr>
        <w:rFonts w:ascii="Times New Roman" w:cs="Times New Roman" w:eastAsia="Times New Roman" w:hAnsi="Times New Roman"/>
        <w:sz w:val="20"/>
        <w:szCs w:val="20"/>
      </w:rPr>
      <w:fldChar w:fldCharType="begin"/>
    </w:r>
    <w:r>
      <w:rPr>
        <w:rFonts w:ascii="Times New Roman" w:cs="Times New Roman" w:eastAsia="Times New Roman" w:hAnsi="Times New Roman"/>
        <w:sz w:val="20"/>
        <w:szCs w:val="20"/>
      </w:rPr>
      <w:instrText xml:space="preserve">NUMPAGES</w:instrText>
    </w:r>
    <w:r>
      <w:rPr>
        <w:rFonts w:ascii="Times New Roman" w:cs="Times New Roman" w:eastAsia="Times New Roman" w:hAnsi="Times New Roman"/>
        <w:sz w:val="20"/>
        <w:szCs w:val="20"/>
      </w:rPr>
      <w:fldChar w:fldCharType="separate"/>
    </w:r>
    <w:r>
      <w:rPr>
        <w:rFonts w:ascii="Times New Roman" w:cs="Times New Roman" w:eastAsia="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60"/>
    </w:pPr>
  </w:style>
  <w:style w:type="paragraph" w:styleId="TOC3">
    <w:name w:val="toc 3"/>
    <w:basedOn w:val="Normal"/>
    <w:next w:val="Normal"/>
    <w:uiPriority w:val="39"/>
    <w:semiHidden/>
    <w:unhideWhenUsed/>
    <w:pPr>
      <w:spacing w:after="100"/>
      <w:ind w:left="520"/>
    </w:pPr>
  </w:style>
  <w:style w:type="paragraph" w:styleId="TOC4">
    <w:name w:val="toc 4"/>
    <w:basedOn w:val="Normal"/>
    <w:next w:val="Normal"/>
    <w:uiPriority w:val="39"/>
    <w:semiHidden/>
    <w:unhideWhenUsed/>
    <w:pPr>
      <w:spacing w:after="100"/>
      <w:ind w:left="780"/>
    </w:pPr>
  </w:style>
  <w:style w:type="paragraph" w:styleId="TOC5">
    <w:name w:val="toc 5"/>
    <w:basedOn w:val="Normal"/>
    <w:next w:val="Normal"/>
    <w:uiPriority w:val="39"/>
    <w:semiHidden/>
    <w:unhideWhenUsed/>
    <w:pPr>
      <w:spacing w:after="100"/>
      <w:ind w:left="1040"/>
    </w:pPr>
  </w:style>
  <w:style w:type="paragraph" w:styleId="TOC6">
    <w:name w:val="toc 6"/>
    <w:basedOn w:val="Normal"/>
    <w:next w:val="Normal"/>
    <w:uiPriority w:val="39"/>
    <w:semiHidden/>
    <w:unhideWhenUsed/>
    <w:pPr>
      <w:spacing w:after="100"/>
      <w:ind w:left="1300"/>
    </w:pPr>
  </w:style>
  <w:style w:type="paragraph" w:styleId="TOC7">
    <w:name w:val="toc 7"/>
    <w:basedOn w:val="Normal"/>
    <w:next w:val="Normal"/>
    <w:uiPriority w:val="39"/>
    <w:semiHidden/>
    <w:unhideWhenUsed/>
    <w:pPr>
      <w:spacing w:after="100"/>
      <w:ind w:left="1560"/>
    </w:pPr>
  </w:style>
  <w:style w:type="paragraph" w:styleId="TOC8">
    <w:name w:val="toc 8"/>
    <w:basedOn w:val="Normal"/>
    <w:next w:val="Normal"/>
    <w:uiPriority w:val="39"/>
    <w:semiHidden/>
    <w:unhideWhenUsed/>
    <w:pPr>
      <w:spacing w:after="100"/>
      <w:ind w:left="1820"/>
    </w:pPr>
  </w:style>
  <w:style w:type="paragraph" w:styleId="TOC9">
    <w:name w:val="toc 9"/>
    <w:basedOn w:val="Normal"/>
    <w:next w:val="Normal"/>
    <w:uiPriority w:val="39"/>
    <w:semiHidden/>
    <w:unhideWhenUsed/>
    <w:pPr>
      <w:spacing w:after="100"/>
      <w:ind w:left="20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Sổ tay chủ nhà tự xây – Hợp đồng giao khoán nhân công</dc:title>
  <dc:creator>Hoa Gạo</dc:creator>
  <dc:description>Tạo bởi Sổ tay chủ nhà tự xây · xaynha.hoagao.store · support@hoagao.store</dc:description>
  <cp:lastModifiedBy>Hoa Gạo</cp:lastModifiedBy>
  <cp:revision>1</cp:revision>
  <dcterms:created xsi:type="dcterms:W3CDTF">2026-10-26T10:13:47.414Z</dcterms:created>
  <dcterms:modified xsi:type="dcterms:W3CDTF">2026-10-26T10:13:47.414Z</dcterms:modified>
</cp:coreProperties>
</file>

<file path=docProps/custom.xml><?xml version="1.0" encoding="utf-8"?>
<Properties xmlns="http://schemas.openxmlformats.org/officeDocument/2006/custom-properties" xmlns:vt="http://schemas.openxmlformats.org/officeDocument/2006/docPropsVTypes"/>
</file>